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употреблялся в российском законодательстве и не был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произошёл в Москве в 1648 году и закончился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устранялись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отменено поместное обеспечение чиновников и повышено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ого термина и называлось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опаснейших пережитков и требовал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останутся висеть в воздухе и не приведут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редактировал и вносил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</w:t>
      </w:r>
      <w:proofErr w:type="gramStart"/>
      <w:r w:rsidRPr="00D87085">
        <w:rPr>
          <w:rFonts w:ascii="Times New Roman" w:hAnsi="Times New Roman" w:cs="Times New Roman"/>
          <w:sz w:val="24"/>
          <w:szCs w:val="24"/>
        </w:rPr>
        <w:t>означает право выбора гражданства по любой причине и является</w:t>
      </w:r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proofErr w:type="gramEnd"/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7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47F0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022F-F307-4756-9B20-C509E89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Зайцева Екатерина Анатольевна</cp:lastModifiedBy>
  <cp:revision>2</cp:revision>
  <cp:lastPrinted>2016-08-02T06:33:00Z</cp:lastPrinted>
  <dcterms:created xsi:type="dcterms:W3CDTF">2016-08-30T06:51:00Z</dcterms:created>
  <dcterms:modified xsi:type="dcterms:W3CDTF">2016-08-30T06:51:00Z</dcterms:modified>
</cp:coreProperties>
</file>